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</w:r>
      <w:r>
        <w:rPr>
          <w:rFonts w:asciiTheme="minorHAnsi" w:hAnsiTheme="minorHAnsi" w:cstheme="minorHAnsi"/>
          <w:bCs/>
          <w:iCs/>
          <w:color w:val="000000"/>
          <w:szCs w:val="20"/>
        </w:rPr>
      </w:r>
    </w:p>
    <w:p>
      <w:pPr>
        <w:pBdr/>
        <w:shd w:val="clear" w:color="auto" w:fill="c5e0b3" w:themeFill="accent6" w:themeFillTint="66"/>
        <w:tabs>
          <w:tab w:val="left" w:leader="none" w:pos="1440"/>
        </w:tabs>
        <w:spacing/>
        <w:ind/>
        <w:jc w:val="center"/>
        <w:rPr>
          <w:rFonts w:asciiTheme="minorHAnsi" w:hAnsiTheme="minorHAnsi" w:eastAsiaTheme="majorEastAsia" w:cstheme="minorHAnsi"/>
          <w:b/>
          <w:bCs/>
          <w:sz w:val="24"/>
        </w:rPr>
      </w:pPr>
      <w:r>
        <w:rPr>
          <w:rFonts w:asciiTheme="minorHAnsi" w:hAnsiTheme="minorHAnsi" w:eastAsiaTheme="majorEastAsia" w:cstheme="minorHAnsi"/>
          <w:b/>
          <w:bCs/>
          <w:sz w:val="24"/>
        </w:rPr>
        <w:t xml:space="preserve">ANEXO III </w:t>
      </w:r>
      <w:r>
        <w:rPr>
          <w:rFonts w:asciiTheme="minorHAnsi" w:hAnsiTheme="minorHAnsi" w:eastAsiaTheme="majorEastAsia" w:cstheme="minorHAnsi"/>
          <w:b/>
          <w:bCs/>
          <w:sz w:val="24"/>
        </w:rPr>
      </w:r>
    </w:p>
    <w:p>
      <w:pPr>
        <w:pBdr/>
        <w:tabs>
          <w:tab w:val="left" w:leader="none" w:pos="1440"/>
        </w:tabs>
        <w:spacing/>
        <w:ind/>
        <w:jc w:val="center"/>
        <w:rPr>
          <w:rFonts w:asciiTheme="minorHAnsi" w:hAnsiTheme="minorHAnsi" w:eastAsiaTheme="majorEastAsia" w:cstheme="minorHAnsi"/>
          <w:b/>
          <w:bCs/>
          <w:sz w:val="24"/>
        </w:rPr>
      </w:pPr>
      <w:r>
        <w:rPr>
          <w:rFonts w:asciiTheme="minorHAnsi" w:hAnsiTheme="minorHAnsi" w:eastAsiaTheme="majorEastAsia" w:cstheme="minorHAnsi"/>
          <w:b/>
          <w:bCs/>
          <w:sz w:val="24"/>
        </w:rPr>
      </w:r>
      <w:r>
        <w:rPr>
          <w:rFonts w:asciiTheme="minorHAnsi" w:hAnsiTheme="minorHAnsi" w:eastAsiaTheme="majorEastAsia" w:cstheme="minorHAnsi"/>
          <w:b/>
          <w:bCs/>
          <w:sz w:val="24"/>
        </w:rPr>
      </w:r>
    </w:p>
    <w:p>
      <w:pPr>
        <w:pBdr/>
        <w:shd w:val="clear" w:color="auto" w:fill="c5e0b3" w:themeFill="accent6" w:themeFillTint="66"/>
        <w:tabs>
          <w:tab w:val="left" w:leader="none" w:pos="1440"/>
        </w:tabs>
        <w:spacing/>
        <w:ind/>
        <w:jc w:val="center"/>
        <w:rPr>
          <w:rFonts w:asciiTheme="minorHAnsi" w:hAnsiTheme="minorHAnsi" w:eastAsiaTheme="majorEastAsia" w:cstheme="minorHAnsi"/>
          <w:b/>
          <w:bCs/>
          <w:sz w:val="24"/>
        </w:rPr>
      </w:pPr>
      <w:r>
        <w:rPr>
          <w:rFonts w:asciiTheme="minorHAnsi" w:hAnsiTheme="minorHAnsi" w:eastAsiaTheme="majorEastAsia" w:cstheme="minorHAnsi"/>
          <w:b/>
          <w:bCs/>
          <w:sz w:val="24"/>
        </w:rPr>
        <w:t xml:space="preserve">PLANILHA DE CUSTOS E FORMAÇÃO DE PREÇOS</w:t>
      </w:r>
      <w:r>
        <w:rPr>
          <w:rFonts w:asciiTheme="minorHAnsi" w:hAnsiTheme="minorHAnsi" w:eastAsiaTheme="majorEastAsia" w:cstheme="minorHAnsi"/>
          <w:b/>
          <w:bCs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 w:val="24"/>
        </w:rPr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Nº do Processo: </w:t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Licitação Nº: ___/______ </w:t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Dia __/__/__ às __:__ horas </w:t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 w:left="993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</w:r>
      <w:r>
        <w:rPr>
          <w:rFonts w:asciiTheme="minorHAnsi" w:hAnsiTheme="minorHAnsi" w:cstheme="minorHAnsi"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 w:left="993"/>
        <w:jc w:val="center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DISCRIMINAÇÃO DOS SERVIÇOS (DADOS REFERENTES À CONTRATAÇÃO) </w:t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1250"/>
        <w:gridCol w:w="7010"/>
        <w:gridCol w:w="1381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A</w:t>
            </w:r>
            <w:r>
              <w:rPr>
                <w:rFonts w:asciiTheme="minorHAnsi" w:hAnsiTheme="minorHAnsi" w:cstheme="minorHAnsi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10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Data de apresentação da proposta (dia/mês/ano):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381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B</w:t>
            </w:r>
            <w:r>
              <w:rPr>
                <w:rFonts w:asciiTheme="minorHAnsi" w:hAnsiTheme="minorHAnsi" w:cstheme="minorHAnsi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10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Município/UF: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381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C</w:t>
            </w:r>
            <w:r>
              <w:rPr>
                <w:rFonts w:asciiTheme="minorHAnsi" w:hAnsiTheme="minorHAnsi" w:cstheme="minorHAnsi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10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Ano do Acordo, Convenção ou Dissídio Coletivo: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381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D</w:t>
            </w:r>
            <w:r>
              <w:rPr>
                <w:rFonts w:asciiTheme="minorHAnsi" w:hAnsiTheme="minorHAnsi" w:cstheme="minorHAnsi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10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Número de meses de execução contratual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381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 w:left="993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</w:r>
      <w:r>
        <w:rPr>
          <w:rFonts w:asciiTheme="minorHAnsi" w:hAnsiTheme="minorHAnsi" w:cstheme="minorHAnsi"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 w:left="993"/>
        <w:jc w:val="center"/>
        <w:rPr>
          <w:rFonts w:asciiTheme="minorHAnsi" w:hAnsiTheme="minorHAnsi" w:cstheme="minorHAnsi"/>
          <w:bCs/>
          <w:iCs/>
          <w:color w:val="000000"/>
          <w:sz w:val="24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IDENTIFICAÇÃO DO SERVIÇO </w:t>
      </w:r>
      <w:r>
        <w:rPr>
          <w:rFonts w:asciiTheme="minorHAnsi" w:hAnsiTheme="minorHAnsi" w:cstheme="minorHAnsi"/>
          <w:bCs/>
          <w:iCs/>
          <w:color w:val="000000"/>
          <w:sz w:val="24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2891"/>
        <w:gridCol w:w="2953"/>
        <w:gridCol w:w="379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891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Tipo de Serviço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95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 Unidade de Medida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797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before="119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Quantidade total a contratar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(Em função da unidade de medida)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r>
          </w:p>
        </w:tc>
      </w:tr>
      <w:tr>
        <w:trPr>
          <w:trHeight w:val="491"/>
        </w:trPr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89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95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797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89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95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797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89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95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797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1440"/>
              </w:tabs>
              <w:spacing w:after="120" w:before="120" w:line="276" w:lineRule="auto"/>
              <w:ind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3333"/>
          <w:szCs w:val="20"/>
        </w:rPr>
      </w:pPr>
      <w:r>
        <w:rPr>
          <w:rFonts w:asciiTheme="minorHAnsi" w:hAnsiTheme="minorHAnsi" w:cstheme="minorHAnsi"/>
          <w:bCs/>
          <w:iCs/>
          <w:color w:val="ff3333"/>
          <w:szCs w:val="20"/>
        </w:rPr>
      </w:r>
      <w:r>
        <w:rPr>
          <w:rFonts w:asciiTheme="minorHAnsi" w:hAnsiTheme="minorHAnsi" w:cstheme="minorHAnsi"/>
          <w:bCs/>
          <w:iCs/>
          <w:color w:val="ff3333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1. MÓDULOS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Mão de obra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>
        <w:rPr>
          <w:rFonts w:asciiTheme="minorHAnsi" w:hAnsiTheme="minorHAnsi" w:cstheme="minorHAnsi"/>
          <w:bCs/>
          <w:iCs/>
          <w:color w:val="000000"/>
          <w:szCs w:val="20"/>
        </w:rPr>
        <w:t xml:space="preserve">Mão de obra vinculada à execução contratual</w:t>
      </w:r>
      <w:r>
        <w:rPr>
          <w:rFonts w:asciiTheme="minorHAnsi" w:hAnsiTheme="minorHAnsi" w:cstheme="minorHAnsi"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563"/>
        <w:gridCol w:w="9078"/>
      </w:tblGrid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64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Dados para composição dos custos referentes a mão de obra 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6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07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Tipo de Serviço (mesmo serviço com características distintas) 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6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07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Classificação Brasileira de Ocupações (CBO) 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6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07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Salário Normativo da Categoria Profissional 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6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07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Categoria Profissional (vinculada à execução contratual) 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6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5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07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Data-Base da Categoria (dia/mês/ano) </w:t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Deverá ser elaborado um quadro para cada tipo de serviço.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A planilha será calculada considerando o valor mensal do empregado.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1 – Composição da Remuneração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7312"/>
        <w:gridCol w:w="1641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1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Composição da Remuneração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Salário Base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Adicional de Periculosidade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Adicional de Insalubridade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Adicional Noturno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Adicional de Hora Noturna Reduzida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Adicional de Hora Extra no Feriado Trabalhado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G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3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Outros (especificar)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800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64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 Módulo 1 refere-se ao valor mensal devido ao empregado pela prestação do serviço no período de 12 meses.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2 – Encargos e Benefícios Anuais, Mensais e Diários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Submódulo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2.1 – 13º (décimo terceiro) Salário, Férias e Adicional de Férias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2.1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13º (décimo terceiro) Salário, Férias e Adicional de Férias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13º (décimo terceiro) Salário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Férias e Adicional de Férias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Como a planilha de custos e formação de preços é calculada mensalmente, provisiona-se proporcionalmente 1/12 (um doze avos) dos valores referentes a gratificação natalina e adicional de férias.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 adicional de férias contido no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2.1 corresponde a 1/3 (um terço) da remuneração que por sua vez é divido por 12 (doze) conforme Nota 1 acima.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Submódulo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2.2 – Encargos Previdenciários (GPS), Fundo de Garantia por Tempo de Serviço (FGTS) e outras contribuições.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4132"/>
        <w:gridCol w:w="2408"/>
        <w:gridCol w:w="2413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2.2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GPS, FGTS e outras contribuições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Percentual (%)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INSS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20,00%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Salário Educação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2,50%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SAT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SESC ou SESI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1,50%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SENAI – SENA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1,00%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SEBRAE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0,60%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G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INCRA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0,20%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H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FGTS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8,00%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3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22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3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Os percentuais dos encargos previdenciários, do FGTS e demais contribuições são aqueles estabelecidos pela legislação vigente.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 SAT a depender do grau de risco do serviço irá variar entre 1%, para risco leve, de 2%, para risco médio, e de 3% de risco grave.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3: Esses percentuais incidem sobre o Módulo 1, o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2.1, o Módulo 3, Módulo 4 e o Módulo 6.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Submódulo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2.3 – Benefícios Mensais e Diários.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9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CellMar>
          <w:left w:w="1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1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2.3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Benefícios Mensais e Diários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Transporte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Auxílio-Refeição/Alimentação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Assistência Médica e Familiar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Outros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 valor informado deverá ser o custo real do benefício (descontado o valor eventualmente pago pelo empregado).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Observar a previsão dos benefícios contidos em Acordos, Convenções e Dissídios Coletivos de Trabalho e atentar-se ao disposto no art. 6º da IN SEGES/MPDG nº 5/2017.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Quadro Resumo do Módulo 2 – Encargos e Benefícios anuais, mensais e diários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7082"/>
        <w:gridCol w:w="1871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Encargos e Benefícios Anuais, Mensais e Diários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>
          <w:trHeight w:val="393"/>
        </w:trPr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2.1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13º (décimo terceiro) Salário, Férias e Adicional de Férias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2.2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GPS, FGTS e outras contribuições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2.3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Benefícios Mensais e Diários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77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3 – Provisão para Rescisão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7082"/>
        <w:gridCol w:w="1871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3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Provisão para Rescisão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Aviso Prévio Indenizado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1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Incidência do FGTS sobre o Aviso Prévio Indenizado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2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 Multa do FGTS 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3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Aviso Prévio Trabalhado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4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Incidência dos encargos do </w:t>
            </w:r>
            <w:r>
              <w:rPr>
                <w:rFonts w:asciiTheme="minorHAnsi" w:hAnsiTheme="minorHAnsi" w:cstheme="minorHAnsi"/>
              </w:rPr>
              <w:t xml:space="preserve">submódulo</w:t>
            </w:r>
            <w:r>
              <w:rPr>
                <w:rFonts w:asciiTheme="minorHAnsi" w:hAnsiTheme="minorHAnsi" w:cstheme="minorHAnsi"/>
              </w:rPr>
              <w:t xml:space="preserve"> 2.2 sobre o Aviso Prévio Trabalhado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5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08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Multa do FGTS e contribuição social sobre o Aviso Prévio Trabalhado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6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77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87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</w:tbl>
    <w:p>
      <w:pPr>
        <w:pBdr/>
        <w:tabs>
          <w:tab w:val="left" w:leader="none" w:pos="1440"/>
        </w:tabs>
        <w:spacing/>
        <w:ind/>
        <w:jc w:val="both"/>
        <w:rPr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  <w:vertAlign w:val="superscript"/>
        </w:rPr>
        <w:t xml:space="preserve">1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Art. 487, § 1º, CLT, c/c art. 7º, XXI, CF/88.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O TCU, por meio do Acórdão 1904/2007 - Plenário, com base em estudos do STF recomenda a utilização do percentual de 5,55% referente a empregados demitidos que não trabalham durante o aviso prévio. 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Assim, a fórmula para o percentual a inicidir sobre a base de cálculo é: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((1/12) x 0,0555) x 100 = 0,46%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Onde: 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1= um mês de salário não trabalhado;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12= número de meses do ano;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100= salário integral;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0,05= pessoal é demitido pelo empregador, antes do término do contrato de trabalho.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Cálculo para Aviso Prévio Indenizado: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(Remuneração do Empregado) x (0,46%)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  <w:vertAlign w:val="superscript"/>
        </w:rPr>
        <w:t xml:space="preserve">2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 Percentual a incidir sobre a base de cálculo: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(8% FGTS) x (0,46% corresponde ao percentual do Aviso Prévio Indenizado) = 0,04%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Cálculo: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(Remuneração do Empregado) x (0,04%)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/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  <w:vertAlign w:val="superscript"/>
        </w:rPr>
        <w:t xml:space="preserve">3 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Art. 18, § 1º, Lei 8.036/90 e Lei Complementar 110/01.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(Percentual de 5% elencado no Anexo XII da Instrução Normativa SEGES/MP nº 5, de 25.5.2017, para multa sobre FGTS e contribuição social sobre o aviso prévio indenizado e sobre o aviso prévio trabalhado)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Percentual a incidir sobre a base de cálculo: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[0,08*0,40*0,9]*(1+0,0833+0,121) = 3,47%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Onde: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(0,08) = Alíquota do FGTS (8%);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(0,40) = Valor da Multa do FGTS indenizado (40%);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(0,90) = Considerando que 10% dos empregados pedem contas, essa penalidade recai sobre os 90% remanescentes;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1= remuneração integral;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(0,0833) = % do 13º salário;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(0,121) = % de férias + adicional de férias.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/>
      </w:pPr>
      <w:r>
        <w:rPr>
          <w:rFonts w:asciiTheme="minorHAnsi" w:hAnsiTheme="minorHAnsi" w:cstheme="minorHAnsi"/>
          <w:bCs/>
          <w:i/>
          <w:iCs/>
          <w:color w:val="auto"/>
          <w:szCs w:val="20"/>
          <w:vertAlign w:val="superscript"/>
        </w:rPr>
        <w:t xml:space="preserve">4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De acordo com o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entendimento do TCU no Acórdão nº 1.186/2017 - Plenário, a Administração "deve estabelecer na minuta do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contrato que a parcela mensal a título de aviso prévio trabalhado será no percentual máximo de 1,94% no primeiro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ano, e, em caso de prorrogação do contrato, o percentual máximo dessa parcela será de 0,194% a cada ano de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prorrogação, a ser incluído por ocasião da formulação do aditivo da prorrogação do contrato, conforme a Lei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12.506/2011".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Arts. 487 e 488, CLT, c/c art. 7º, XXI, CF/88.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Conforme entendimento do TCU, Acórdão 1.186/2017 - Plenário, o percentual mais adequado para o item Aviso Prévio Trabalhado é de 1,94%, mas que deve ser pago apenas no primeiro ano do contrato, devendo ser excluído da planilha a partir do segundo ano, uma v</w:t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ez que só haverá uma demissão e uma indenização por empregado. O cálculo está demonstrado a seguir: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[(100% / 30) x 7]/ 12 = 1,94%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Onde: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100% = salário integral;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30 = número de dias no mês;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7 = número de dias de aviso prévio a que o empregado tem direito de se ausentar;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12 = número de meses no ano.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</w:p>
    <w:p>
      <w:pPr>
        <w:pBdr/>
        <w:tabs>
          <w:tab w:val="left" w:leader="none" w:pos="1440"/>
        </w:tabs>
        <w:spacing/>
        <w:ind/>
        <w:jc w:val="both"/>
        <w:rPr/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  <w:vertAlign w:val="superscript"/>
        </w:rPr>
        <w:t xml:space="preserve">5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Percentual a incidir sobre a base de cálculo: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(36,80% do Submódulo 2.2) x (1,94% Aviso Prévio Trabalhado)= 0,71%. 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Conforme entendimento do TCU, Acórdão 1.186/2017 - Plenário, o percentual referente a Aviso Prévio Trabalhado e suas incidências (Incidência do 4.1 sobre o Aviso Prévio Trabalhado e Multa do FGTS e da Contribuição Social do Aviso Prévio Trabalhado) serão de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vidos apenas no primeiro ano de vigência do contrato, e no caso de eventual prorrogação, serão retirados, com vigência a partir do primeiro aniversário da avença, em atendimento ao exposto no Acórdão 3006/2010 -Plenário - TCU.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  <w:vertAlign w:val="superscript"/>
        </w:rPr>
        <w:t xml:space="preserve">6 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Art. 18, § 1º, Lei 8.036/90; Lei Complementar 110/01; 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A Tabela da CDV do Anexo XII da IN nº 05/2017 estabelece percentual único (5%) </w:t>
      </w:r>
      <w:r/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para a multa. Esse percentual deverá ser adaptado em razão da exclusão de 10% </w:t>
      </w:r>
      <w:r/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da contribuição social que incidia sobre a mesma base de cálculo da multa do </w:t>
      </w:r>
      <w:r/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FGTS (40%). Assim, o percentual único resultará em 4%.</w:t>
      </w:r>
      <w:r/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  <w:t xml:space="preserve">Haja vista que o percentual previsto para retenção em conta-depósito vinculada - bloqueada para movimentação da multa sobre FGTS sobre o aviso prévio indenizado e sobre o aviso prévio trabalhado.</w:t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/>
      <w:r>
        <w:rPr>
          <w:rFonts w:asciiTheme="minorHAnsi" w:hAnsiTheme="minorHAnsi" w:cstheme="minorHAnsi"/>
          <w:i/>
          <w:iCs/>
          <w:color w:val="auto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</w:rPr>
      </w:pP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  <w:r>
        <w:rPr>
          <w:rFonts w:asciiTheme="minorHAnsi" w:hAnsiTheme="minorHAnsi" w:cstheme="minorHAnsi"/>
          <w:bCs/>
          <w:i/>
          <w:iCs/>
          <w:color w:val="auto"/>
          <w:szCs w:val="20"/>
          <w:highlight w:val="none"/>
        </w:rPr>
      </w:r>
    </w:p>
    <w:p>
      <w:pPr>
        <w:pBdr/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iCs/>
          <w:color w:val="auto"/>
          <w:szCs w:val="20"/>
        </w:rPr>
      </w:pPr>
      <w:r/>
      <w:bookmarkStart w:id="0" w:name="_GoBack"/>
      <w:r/>
      <w:bookmarkEnd w:id="0"/>
      <w:r/>
      <w:r>
        <w:rPr>
          <w:rFonts w:asciiTheme="minorHAnsi" w:hAnsiTheme="minorHAnsi" w:cstheme="minorHAnsi"/>
          <w:bCs/>
          <w:i/>
          <w:iCs/>
          <w:color w:val="auto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4 – Custo de Reposição do Profissional Ausente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Os itens que contemplam o módulo 4 se referem ao custo dos dias trabalhados pelo repositor/substituto que por ventura venha cobrir o empregado nos casos de Ausências Legais (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4.1) e/ou na Intrajornada (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4.2), a depender da prestação do serviço.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Haverá a incidência do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2.2 sobre esse módulo.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Submódulo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4.1 – Ausências Legais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4.1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Ausências Legais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Férias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1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Ausências Legais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2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Licença Paternidade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3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Ausência por acidente de trabalho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4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Afastamento Maternidade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5</w:t>
            </w:r>
            <w:r>
              <w:rPr>
                <w:rFonts w:asciiTheme="minorHAnsi" w:hAnsiTheme="minorHAnsi" w:cstheme="minorHAnsi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Outros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iCs/>
          <w:color w:val="000000" w:themeColor="text1"/>
          <w:highlight w:val="none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As alíneas “A” a “F” referem-se somente ao custo que será pago ao repositor pelos dias trabalhados quando da necessidade de substituir a mão de obra alocada na prestação do serviço.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/>
        <w:ind/>
        <w:jc w:val="both"/>
        <w:rPr>
          <w:i/>
          <w:color w:val="auto"/>
          <w:highlight w:val="none"/>
          <w14:ligatures w14:val="none"/>
        </w:rPr>
      </w:pPr>
      <w:r>
        <w:rPr>
          <w:rFonts w:asciiTheme="minorHAnsi" w:hAnsiTheme="minorHAnsi" w:cstheme="minorHAnsi"/>
          <w:i/>
          <w:iCs/>
          <w:color w:val="auto"/>
          <w:highlight w:val="none"/>
          <w:vertAlign w:val="superscript"/>
        </w:rPr>
        <w:t xml:space="preserve">1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Considerando que o valor pago ao substituto durante as férias do empregado já consta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na remuneração (Módulo 1) e que o valor pago ao empregado, para fazer frente ao custo de suas férias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acrescidas do terço constitucional, já foi apurado na alínea “B” do Submódulo 2.1, entendemos não se justificar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o custo a ser aportado nesta rubrica.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pPr>
      <w:r>
        <w:rPr>
          <w:rFonts w:asciiTheme="minorHAnsi" w:hAnsiTheme="minorHAnsi" w:cstheme="minorHAnsi"/>
          <w:i/>
          <w:iCs/>
          <w:color w:val="auto"/>
          <w:highlight w:val="none"/>
          <w:vertAlign w:val="superscript"/>
        </w:rPr>
        <w:t xml:space="preserve">2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Segundo dados estatísticos do IBGE, em média, cada trabalhador tem 5 (cinco) faltas justificadas anuais, 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motivadas por algum tipo de doença e 1 falta legal por ano (Acórdão TCU 6771/2009-1ª Câmara).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Memória de calc. = 6 / 30 / 12 x 100.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pPr>
      <w:r>
        <w:rPr>
          <w:rFonts w:asciiTheme="minorHAnsi" w:hAnsiTheme="minorHAnsi" w:cstheme="minorHAnsi"/>
          <w:i/>
          <w:iCs/>
          <w:color w:val="auto"/>
          <w:highlight w:val="none"/>
          <w:vertAlign w:val="superscript"/>
        </w:rPr>
        <w:t xml:space="preserve">3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A licença paternidade é de 05 dias. Segundo estatística do IBGE, nascem filhos de 1,5% dos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trabalhadores, no período de 01 ano.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Memória de cálculo = Remun. / 30 /12 x 5 x 0,015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pPr>
      <w:r>
        <w:rPr>
          <w:rFonts w:asciiTheme="minorHAnsi" w:hAnsiTheme="minorHAnsi" w:cstheme="minorHAnsi"/>
          <w:i/>
          <w:iCs/>
          <w:color w:val="auto"/>
          <w:highlight w:val="none"/>
          <w:vertAlign w:val="superscript"/>
        </w:rPr>
        <w:t xml:space="preserve">4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Conforme Manual de orientação para preenchimento da planilha de custo e formação de preços do MP, de maio de 2011: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Acidente de Trabalho: O artigo 27 do Decreto nº 89.312, de 23/01/84, obriga o empregador a assumir o ônus financeiro pelo prazo de 15 dias, no caso de acidente de trabalho previsto no art. 131 da CLT. De acordo com os números apresentados pelo Ministério d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a Previdência de Assistência Social, baseados em informações prestadas pelos empregadores, por meio da GFIP, 0,78% (zero vírgula setenta e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oito por cento) dos empregados se acidentam no ano.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Percentual a incidir sobre a base de cálculo: 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(15 dias) / (30 dias) / (12 meses) x (0,78% índice GFIP) = 0,03%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Cálculo: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(Remuneração do Empregado) x (0,03%)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leader="none" w:pos="1440"/>
        </w:tabs>
        <w:spacing/>
        <w:ind/>
        <w:jc w:val="both"/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pPr>
      <w:r>
        <w:rPr>
          <w:rFonts w:asciiTheme="minorHAnsi" w:hAnsiTheme="minorHAnsi" w:cstheme="minorHAnsi"/>
          <w:i/>
          <w:iCs/>
          <w:color w:val="auto"/>
          <w:highlight w:val="none"/>
          <w:vertAlign w:val="superscript"/>
        </w:rPr>
        <w:t xml:space="preserve">5</w:t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A licença maternidade é de 120 dias. O salário e 13º proporcional é pago pela previdência. Os encargos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são custo da empresa, aliado ao custo adicional do pagamento de férias (4/12) mais os encargos a ela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referentes.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Cálculo: {[(Remuneração + Terço Constitucional) x (Meses de licença/12)] x Incidência de ocorrência / 12 x 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  <w:t xml:space="preserve">100}, considerada em 2% ao ano, conforme indicado no Acórdão TCU 6771/2009 - 1a. Câmara.</w:t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i/>
          <w:iCs/>
          <w:color w:val="auto"/>
          <w:highlight w:val="none"/>
        </w:rPr>
      </w:r>
      <w:r>
        <w:rPr>
          <w:rFonts w:asciiTheme="minorHAnsi" w:hAnsiTheme="minorHAnsi" w:cstheme="minorHAnsi"/>
          <w:bCs/>
          <w:i/>
          <w:color w:val="auto"/>
          <w:highlight w:val="none"/>
          <w14:ligatures w14:val="none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Submódulo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4.2 – Intrajornada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4.2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Intrajornada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Intervalo para repouso ou alimentação 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Quando houver a necessidade de reposição de um empregado durante sua ausência nos casos de intervalo para repouso ou alimentação deve-se contemplar o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Submódulo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4.2.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Quadro Resumo do Módulo 4 – Custo de Reposição do Profissional Ausente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4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Custo de Reposição do Profissional Ausente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4.1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Ausências Legais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4.2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Intrajornada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</w:r>
      <w:r>
        <w:rPr>
          <w:rFonts w:asciiTheme="minorHAnsi" w:hAnsiTheme="minorHAnsi" w:cstheme="minorHAnsi"/>
          <w:b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5 – Insumos Diversos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5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Insumos Diversos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Uniformes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Materiais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Equipamentos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573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Outros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3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iCs/>
          <w:color w:val="000000" w:themeColor="text1"/>
          <w:szCs w:val="20"/>
        </w:rPr>
        <w:t xml:space="preserve">Nota: Valores mensais por empregado.</w:t>
      </w:r>
      <w:r>
        <w:rPr>
          <w:rFonts w:asciiTheme="minorHAnsi" w:hAnsiTheme="minorHAnsi" w:cstheme="minorHAnsi"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iCs/>
          <w:color w:val="ff0000"/>
          <w:szCs w:val="20"/>
        </w:rPr>
      </w:pPr>
      <w:r>
        <w:rPr>
          <w:rFonts w:asciiTheme="minorHAnsi" w:hAnsiTheme="minorHAnsi" w:cstheme="minorHAnsi"/>
          <w:iCs/>
          <w:color w:val="ff0000"/>
          <w:szCs w:val="20"/>
        </w:rPr>
      </w:r>
      <w:r>
        <w:rPr>
          <w:rFonts w:asciiTheme="minorHAnsi" w:hAnsiTheme="minorHAnsi" w:cstheme="minorHAnsi"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iCs/>
          <w:color w:val="ff0000"/>
          <w:szCs w:val="20"/>
        </w:rPr>
      </w:pPr>
      <w:r>
        <w:rPr>
          <w:rFonts w:asciiTheme="minorHAnsi" w:hAnsiTheme="minorHAnsi" w:cstheme="minorHAnsi"/>
          <w:iCs/>
          <w:color w:val="ff0000"/>
          <w:szCs w:val="20"/>
        </w:rPr>
      </w:r>
      <w:r>
        <w:rPr>
          <w:rFonts w:asciiTheme="minorHAnsi" w:hAnsiTheme="minorHAnsi" w:cstheme="minorHAnsi"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iCs/>
          <w:color w:val="ff0000"/>
          <w:szCs w:val="20"/>
        </w:rPr>
      </w:pPr>
      <w:r>
        <w:rPr>
          <w:rFonts w:asciiTheme="minorHAnsi" w:hAnsiTheme="minorHAnsi" w:cstheme="minorHAnsi"/>
          <w:iCs/>
          <w:color w:val="ff0000"/>
          <w:szCs w:val="20"/>
        </w:rPr>
      </w:r>
      <w:r>
        <w:rPr>
          <w:rFonts w:asciiTheme="minorHAnsi" w:hAnsiTheme="minorHAnsi" w:cstheme="minorHAnsi"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6 – Custos Indiretos, Tributos e Lucro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9"/>
        <w:gridCol w:w="4132"/>
        <w:gridCol w:w="2408"/>
        <w:gridCol w:w="2412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6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Custos Indiretos, Tributos e Lucro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Percentual (%)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Custos Indiretos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Lucro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Tributos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C.1. Tributos Federais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C.2. Tributos Estaduais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13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C.3. Tributos Municipais (especificar)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482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40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412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Custos Indiretos, Tributos e Lucro por empregado.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 valor referente a tributos é obtido aplicando-se o percentual sobre o valor do faturamento.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  <w:r>
        <w:rPr>
          <w:rFonts w:asciiTheme="minorHAnsi" w:hAnsiTheme="minorHAnsi" w:cstheme="minorHAnsi"/>
          <w:bCs/>
          <w:iCs/>
          <w:color w:val="ff0000"/>
          <w:szCs w:val="20"/>
        </w:rPr>
      </w:r>
      <w:r>
        <w:rPr>
          <w:rFonts w:asciiTheme="minorHAnsi" w:hAnsiTheme="minorHAnsi" w:cstheme="minorHAnsi"/>
          <w:bCs/>
          <w:iCs/>
          <w:color w:val="ff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2. QUADRO RESUMO DO CUSTO POR EMPREGADO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41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8"/>
        <w:gridCol w:w="7529"/>
        <w:gridCol w:w="1424"/>
      </w:tblGrid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Mão de obra vinculada à execução contratual (valor por empregado)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1 - Composição da Remuneração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2 - Encargos e Benefícios Anuais, Mensais e Diários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3 - Provisão para Rescisão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4 - Custo de Reposição do Profissional Ausente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5 - Insumos Diversos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8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Subtotal (A+B+C+D+E)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68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752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Módulo 6 – Custos Indiretos, Tributos e Lucro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821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Total por Empregado 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2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3399ff"/>
          <w:sz w:val="24"/>
        </w:rPr>
      </w:pPr>
      <w:r>
        <w:rPr>
          <w:rFonts w:asciiTheme="minorHAnsi" w:hAnsiTheme="minorHAnsi" w:cstheme="minorHAnsi"/>
          <w:bCs/>
          <w:iCs/>
          <w:color w:val="3399ff"/>
          <w:sz w:val="24"/>
        </w:rPr>
      </w:r>
      <w:r>
        <w:rPr>
          <w:rFonts w:asciiTheme="minorHAnsi" w:hAnsiTheme="minorHAnsi" w:cstheme="minorHAnsi"/>
          <w:bCs/>
          <w:iCs/>
          <w:color w:val="3399ff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3. QUADRO-RESUMO DO VALOR MENSAL DOS SERVIÇOS </w:t>
      </w:r>
      <w:r>
        <w:rPr>
          <w:rFonts w:asciiTheme="minorHAnsi" w:hAnsiTheme="minorHAnsi" w:cstheme="minorHAnsi"/>
          <w:bCs/>
          <w:iCs/>
          <w:color w:val="000000"/>
          <w:szCs w:val="20"/>
        </w:rPr>
      </w:r>
    </w:p>
    <w:tbl>
      <w:tblPr>
        <w:tblW w:w="9638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insideH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340"/>
        <w:gridCol w:w="1018"/>
        <w:gridCol w:w="1704"/>
        <w:gridCol w:w="2210"/>
        <w:gridCol w:w="1704"/>
        <w:gridCol w:w="1251"/>
        <w:gridCol w:w="1411"/>
      </w:tblGrid>
      <w:tr>
        <w:trPr/>
        <w:tc>
          <w:tcPr>
            <w:gridSpan w:val="2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357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Tipo de Serviço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(A)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Proposto por Empregado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(B)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21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Qtde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de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Empregados por Posto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(C)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Proposto por Posto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(D) = (B x C)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Qtde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de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Postos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(E)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1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Total do Serviço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(F) = (D x E)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33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01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Serviço 1</w:t>
            </w:r>
            <w:r>
              <w:rPr>
                <w:rFonts w:asciiTheme="minorHAnsi" w:hAnsiTheme="minorHAnsi" w:cstheme="minorHAnsi"/>
              </w:rPr>
            </w:r>
          </w:p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(</w:t>
            </w:r>
            <w:r>
              <w:rPr>
                <w:rFonts w:asciiTheme="minorHAnsi" w:hAnsiTheme="minorHAnsi" w:cstheme="minorHAnsi"/>
              </w:rPr>
              <w:t xml:space="preserve">indicar</w:t>
            </w:r>
            <w:r>
              <w:rPr>
                <w:rFonts w:asciiTheme="minorHAnsi" w:hAnsiTheme="minorHAnsi" w:cstheme="minorHAnsi"/>
              </w:rPr>
              <w:t xml:space="preserve">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21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1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33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II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01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Serviço 2 (indicar)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21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1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339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018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Serviço N (indicar)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2210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704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125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1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>
          <w:trHeight w:val="386"/>
        </w:trPr>
        <w:tc>
          <w:tcPr>
            <w:gridSpan w:val="6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</w:tcBorders>
            <w:tcMar>
              <w:left w:w="-2" w:type="dxa"/>
            </w:tcMar>
            <w:tcW w:w="8226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mensal dos Serviços (I+II+N)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1411" w:type="dxa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</w:t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4. QUADRO DEMONSTRATIVO DO VALOR GLOBAL DA PROPOSTA </w:t>
      </w:r>
      <w:r>
        <w:rPr>
          <w:rFonts w:asciiTheme="minorHAnsi" w:hAnsiTheme="minorHAnsi" w:cstheme="minorHAnsi"/>
          <w:b/>
          <w:bCs/>
          <w:iCs/>
          <w:color w:val="000000"/>
          <w:szCs w:val="20"/>
        </w:rPr>
      </w:r>
    </w:p>
    <w:tbl>
      <w:tblPr>
        <w:tblW w:w="9638" w:type="dxa"/>
        <w:tblInd w:w="67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CellMar>
          <w:left w:w="-2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450"/>
        <w:gridCol w:w="7031"/>
        <w:gridCol w:w="2157"/>
      </w:tblGrid>
      <w:tr>
        <w:trPr/>
        <w:tc>
          <w:tcPr>
            <w:gridSpan w:val="3"/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9638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GLOBAL DA PROPOSTA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4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703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DESCRIÇÃO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157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VALOR (R$)</w:t>
            </w:r>
            <w:r>
              <w:rPr>
                <w:rFonts w:asciiTheme="minorHAnsi" w:hAnsiTheme="minorHAnsi" w:cstheme="minorHAnsi"/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4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703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Valor proposto por unidade de medida *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157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4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703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Valor mensal do serviço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157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450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7031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Valor global da proposta</w:t>
            </w:r>
            <w:r>
              <w:rPr>
                <w:rFonts w:asciiTheme="minorHAnsi" w:hAnsiTheme="minorHAnsi" w:cstheme="minorHAnsi"/>
              </w:rPr>
            </w:r>
          </w:p>
          <w:p>
            <w:pPr>
              <w:pStyle w:val="692"/>
              <w:pBdr/>
              <w:spacing/>
              <w:ind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(Valor mensal do serviço multiplicado pelo número de meses do contrato)</w:t>
            </w:r>
            <w:r>
              <w:rPr>
                <w:rFonts w:asciiTheme="minorHAnsi" w:hAnsiTheme="minorHAnsi" w:cstheme="minorHAnsi"/>
              </w:rPr>
            </w:r>
          </w:p>
        </w:tc>
        <w:tc>
          <w:tcPr>
            <w:shd w:val="clear" w:color="auto" w:fill="auto"/>
            <w:tcBorders>
              <w:top w:val="single" w:color="000001" w:sz="2" w:space="0"/>
              <w:left w:val="single" w:color="000001" w:sz="2" w:space="0"/>
              <w:bottom w:val="single" w:color="000001" w:sz="2" w:space="0"/>
              <w:right w:val="single" w:color="000001" w:sz="2" w:space="0"/>
            </w:tcBorders>
            <w:tcMar>
              <w:left w:w="-2" w:type="dxa"/>
            </w:tcMar>
            <w:tcW w:w="2157" w:type="dxa"/>
            <w:vAlign w:val="center"/>
            <w:textDirection w:val="lrTb"/>
            <w:noWrap w:val="false"/>
          </w:tcPr>
          <w:p>
            <w:pPr>
              <w:pStyle w:val="692"/>
              <w:pBdr/>
              <w:spacing/>
              <w:ind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</w:r>
          </w:p>
        </w:tc>
      </w:tr>
    </w:tbl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Informar o valor da unidade de medida por tipo de serviço. </w:t>
      </w:r>
      <w:r>
        <w:rPr>
          <w:rFonts w:asciiTheme="minorHAnsi" w:hAnsiTheme="minorHAnsi" w:cstheme="minorHAnsi"/>
          <w:bCs/>
          <w:iCs/>
          <w:color w:val="000000" w:themeColor="text1"/>
          <w:szCs w:val="20"/>
        </w:rPr>
      </w:r>
    </w:p>
    <w:p>
      <w:pPr>
        <w:pBdr/>
        <w:spacing/>
        <w:ind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</w:p>
    <w:sectPr>
      <w:headerReference w:type="default" r:id="rId9"/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3"/>
      <w:pBdr/>
      <w:spacing/>
      <w:ind/>
      <w:rPr/>
    </w:pPr>
    <w:r>
      <w:rPr>
        <w:rFonts w:ascii="Liberation Serif" w:hAnsi="Liberation Serif"/>
        <w:color w:val="000000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400040" cy="571077"/>
              <wp:effectExtent l="0" t="0" r="0" b="635"/>
              <wp:docPr id="1" name="Imagem 1" descr="https://lh3.googleusercontent.com/NuUqZFVU-tbyMiHrUofK1U0XAoYF3ILZ5hVDIIJ3kc8NHfi2wqyPt69U4APA1-Xdku1l_M-3e8dsNobHFNhXl0v24S40UjReEE3lg-vku6-Z_DdjdP9lnIkn1ruJsc_3kP-X0qNRcnn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lh3.googleusercontent.com/NuUqZFVU-tbyMiHrUofK1U0XAoYF3ILZ5hVDIIJ3kc8NHfi2wqyPt69U4APA1-Xdku1l_M-3e8dsNobHFNhXl0v24S40UjReEE3lg-vku6-Z_DdjdP9lnIkn1ruJsc_3kP-X0qNRcnn0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400040" cy="5710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25.20pt;height:44.97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 w:eastAsia="Times New Roman" w:cstheme="minorHAnsi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88"/>
    <w:next w:val="688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88"/>
    <w:next w:val="688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88"/>
    <w:next w:val="68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88"/>
    <w:next w:val="688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88"/>
    <w:next w:val="68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88"/>
    <w:next w:val="688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88"/>
    <w:next w:val="68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8"/>
    <w:next w:val="68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8"/>
    <w:next w:val="68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89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8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8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89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89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89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89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89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8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88"/>
    <w:next w:val="688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89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88"/>
    <w:next w:val="688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89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8"/>
    <w:next w:val="68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89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8"/>
    <w:next w:val="688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89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8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8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8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689"/>
    <w:link w:val="693"/>
    <w:uiPriority w:val="99"/>
    <w:pPr>
      <w:pBdr/>
      <w:spacing/>
      <w:ind/>
    </w:pPr>
  </w:style>
  <w:style w:type="character" w:styleId="178">
    <w:name w:val="Footer Char"/>
    <w:basedOn w:val="689"/>
    <w:link w:val="695"/>
    <w:uiPriority w:val="99"/>
    <w:pPr>
      <w:pBdr/>
      <w:spacing/>
      <w:ind/>
    </w:pPr>
  </w:style>
  <w:style w:type="paragraph" w:styleId="179">
    <w:name w:val="Caption"/>
    <w:basedOn w:val="688"/>
    <w:next w:val="6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8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89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89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89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89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688" w:default="1">
    <w:name w:val="Normal"/>
    <w:qFormat/>
    <w:pPr>
      <w:pBdr/>
      <w:spacing w:after="0" w:line="240" w:lineRule="auto"/>
      <w:ind/>
    </w:pPr>
    <w:rPr>
      <w:rFonts w:ascii="Arial" w:hAnsi="Arial" w:eastAsia="Times New Roman" w:cs="Tahoma"/>
      <w:color w:val="00000a"/>
      <w:sz w:val="20"/>
      <w:szCs w:val="24"/>
      <w:lang w:eastAsia="pt-BR"/>
    </w:rPr>
  </w:style>
  <w:style w:type="character" w:styleId="689" w:default="1">
    <w:name w:val="Default Paragraph Font"/>
    <w:uiPriority w:val="1"/>
    <w:semiHidden/>
    <w:unhideWhenUsed/>
    <w:pPr>
      <w:pBdr/>
      <w:spacing/>
      <w:ind/>
    </w:pPr>
  </w:style>
  <w:style w:type="table" w:styleId="69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1" w:default="1">
    <w:name w:val="No List"/>
    <w:uiPriority w:val="99"/>
    <w:semiHidden/>
    <w:unhideWhenUsed/>
    <w:pPr>
      <w:pBdr/>
      <w:spacing/>
      <w:ind/>
    </w:pPr>
  </w:style>
  <w:style w:type="paragraph" w:styleId="692" w:customStyle="1">
    <w:name w:val="Conteúdo da tabela"/>
    <w:basedOn w:val="688"/>
    <w:qFormat/>
    <w:pPr>
      <w:pBdr/>
      <w:spacing/>
      <w:ind/>
    </w:pPr>
  </w:style>
  <w:style w:type="paragraph" w:styleId="693">
    <w:name w:val="Header"/>
    <w:basedOn w:val="688"/>
    <w:link w:val="694"/>
    <w:uiPriority w:val="99"/>
    <w:unhideWhenUsed/>
    <w:pPr>
      <w:pBdr/>
      <w:tabs>
        <w:tab w:val="center" w:leader="none" w:pos="4252"/>
        <w:tab w:val="right" w:leader="none" w:pos="8504"/>
      </w:tabs>
      <w:spacing/>
      <w:ind/>
    </w:pPr>
  </w:style>
  <w:style w:type="character" w:styleId="694" w:customStyle="1">
    <w:name w:val="Cabeçalho Char"/>
    <w:basedOn w:val="689"/>
    <w:link w:val="693"/>
    <w:uiPriority w:val="99"/>
    <w:pPr>
      <w:pBdr/>
      <w:spacing/>
      <w:ind/>
    </w:pPr>
    <w:rPr>
      <w:rFonts w:ascii="Arial" w:hAnsi="Arial" w:eastAsia="Times New Roman" w:cs="Tahoma"/>
      <w:color w:val="00000a"/>
      <w:sz w:val="20"/>
      <w:szCs w:val="24"/>
      <w:lang w:eastAsia="pt-BR"/>
    </w:rPr>
  </w:style>
  <w:style w:type="paragraph" w:styleId="695">
    <w:name w:val="Footer"/>
    <w:basedOn w:val="688"/>
    <w:link w:val="696"/>
    <w:uiPriority w:val="99"/>
    <w:unhideWhenUsed/>
    <w:pPr>
      <w:pBdr/>
      <w:tabs>
        <w:tab w:val="center" w:leader="none" w:pos="4252"/>
        <w:tab w:val="right" w:leader="none" w:pos="8504"/>
      </w:tabs>
      <w:spacing/>
      <w:ind/>
    </w:pPr>
  </w:style>
  <w:style w:type="character" w:styleId="696" w:customStyle="1">
    <w:name w:val="Rodapé Char"/>
    <w:basedOn w:val="689"/>
    <w:link w:val="695"/>
    <w:uiPriority w:val="99"/>
    <w:pPr>
      <w:pBdr/>
      <w:spacing/>
      <w:ind/>
    </w:pPr>
    <w:rPr>
      <w:rFonts w:ascii="Arial" w:hAnsi="Arial" w:eastAsia="Times New Roman" w:cs="Tahoma"/>
      <w:color w:val="00000a"/>
      <w:sz w:val="20"/>
      <w:szCs w:val="24"/>
      <w:lang w:eastAsia="pt-BR"/>
    </w:rPr>
  </w:style>
  <w:style w:type="paragraph" w:styleId="697">
    <w:name w:val="List Paragraph"/>
    <w:basedOn w:val="688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revision>9</cp:revision>
  <dcterms:created xsi:type="dcterms:W3CDTF">2023-10-09T12:59:00Z</dcterms:created>
  <dcterms:modified xsi:type="dcterms:W3CDTF">2024-12-04T21:21:26Z</dcterms:modified>
</cp:coreProperties>
</file>